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jc w:val="center"/>
        <w:rPr>
          <w:rFonts w:ascii="Georgia" w:cs="Georgia" w:hAnsi="Georgia" w:eastAsia="Georgia"/>
          <w:b w:val="1"/>
          <w:bCs w:val="1"/>
        </w:rPr>
      </w:pPr>
      <w:r>
        <w:rPr>
          <w:rFonts w:ascii="Georgia" w:hAnsi="Georgia"/>
          <w:b w:val="1"/>
          <w:bCs w:val="1"/>
          <w:rtl w:val="0"/>
          <w:lang w:val="en-US"/>
        </w:rPr>
        <w:t>ADDRESSING Diversity in Interpersonal Circumplex Theory and Research: Updates for Measurement and Practice</w:t>
      </w:r>
    </w:p>
    <w:p>
      <w:pPr>
        <w:pStyle w:val="Default"/>
        <w:bidi w:val="0"/>
        <w:spacing w:before="0" w:after="480" w:line="240" w:lineRule="auto"/>
        <w:ind w:left="0" w:right="0" w:firstLine="0"/>
        <w:jc w:val="center"/>
        <w:rPr>
          <w:rFonts w:ascii="Georgia" w:cs="Georgia" w:hAnsi="Georgia" w:eastAsia="Georgia"/>
          <w:outline w:val="0"/>
          <w:color w:val="2075a7"/>
          <w:shd w:val="clear" w:color="auto" w:fill="ffffff"/>
          <w:rtl w:val="0"/>
          <w14:textFill>
            <w14:solidFill>
              <w14:srgbClr w14:val="2075A7"/>
            </w14:solidFill>
          </w14:textFill>
        </w:rPr>
      </w:pPr>
      <w:r>
        <w:rPr>
          <w:rFonts w:ascii="Georgia" w:hAnsi="Georgia"/>
          <w:outline w:val="0"/>
          <w:color w:val="2075a7"/>
          <w:shd w:val="clear" w:color="auto" w:fill="ffffff"/>
          <w:rtl w:val="0"/>
          <w:lang w:val="en-US"/>
          <w14:textFill>
            <w14:solidFill>
              <w14:srgbClr w14:val="2075A7"/>
            </w14:solidFill>
          </w14:textFill>
        </w:rPr>
        <w:t>2 CONTINUING EDUCATION CREDITS</w:t>
      </w:r>
    </w:p>
    <w:p>
      <w:pPr>
        <w:pStyle w:val="Default"/>
        <w:bidi w:val="0"/>
        <w:spacing w:before="0" w:after="240" w:line="240" w:lineRule="auto"/>
        <w:ind w:left="0" w:right="0" w:firstLine="0"/>
        <w:jc w:val="left"/>
        <w:rPr>
          <w:rFonts w:ascii="Georgia" w:cs="Georgia" w:hAnsi="Georgia" w:eastAsia="Georgia"/>
          <w:outline w:val="0"/>
          <w:color w:val="3a3c45"/>
          <w:shd w:val="clear" w:color="auto" w:fill="ffffff"/>
          <w:rtl w:val="0"/>
          <w14:textFill>
            <w14:solidFill>
              <w14:srgbClr w14:val="3A3C45"/>
            </w14:solidFill>
          </w14:textFill>
        </w:rPr>
      </w:pPr>
      <w:r>
        <w:rPr>
          <w:rFonts w:ascii="Georgia" w:hAnsi="Georgia"/>
          <w:outline w:val="0"/>
          <w:color w:val="3a3c45"/>
          <w:shd w:val="clear" w:color="auto" w:fill="ffffff"/>
          <w:rtl w:val="0"/>
          <w14:textFill>
            <w14:solidFill>
              <w14:srgbClr w14:val="3A3C45"/>
            </w14:solidFill>
          </w14:textFill>
        </w:rPr>
        <w:t>BASE</w:t>
      </w:r>
      <w:r>
        <w:rPr>
          <w:rFonts w:ascii="Georgia" w:hAnsi="Georgia"/>
          <w:outline w:val="0"/>
          <w:color w:val="3a3c45"/>
          <w:shd w:val="clear" w:color="auto" w:fill="ffffff"/>
          <w:rtl w:val="0"/>
          <w:lang w:val="en-US"/>
          <w14:textFill>
            <w14:solidFill>
              <w14:srgbClr w14:val="3A3C45"/>
            </w14:solidFill>
          </w14:textFill>
        </w:rPr>
        <w:t xml:space="preserve"> Cognitive Behavioral</w:t>
      </w:r>
      <w:r>
        <w:rPr>
          <w:rFonts w:ascii="Georgia" w:hAnsi="Georgia"/>
          <w:outline w:val="0"/>
          <w:color w:val="3a3c45"/>
          <w:shd w:val="clear" w:color="auto" w:fill="ffffff"/>
          <w:rtl w:val="0"/>
          <w14:textFill>
            <w14:solidFill>
              <w14:srgbClr w14:val="3A3C45"/>
            </w14:solidFill>
          </w14:textFill>
        </w:rPr>
        <w:t xml:space="preserve"> </w:t>
      </w:r>
      <w:r>
        <w:rPr>
          <w:rFonts w:ascii="Georgia" w:hAnsi="Georgia"/>
          <w:outline w:val="0"/>
          <w:color w:val="3a3c45"/>
          <w:shd w:val="clear" w:color="auto" w:fill="ffffff"/>
          <w:rtl w:val="0"/>
          <w:lang w:val="en-US"/>
          <w14:textFill>
            <w14:solidFill>
              <w14:srgbClr w14:val="3A3C45"/>
            </w14:solidFill>
          </w14:textFill>
        </w:rPr>
        <w:t>(</w:t>
      </w:r>
      <w:r>
        <w:rPr>
          <w:rStyle w:val="Hyperlink.0"/>
          <w:rFonts w:ascii="Georgia" w:cs="Georgia" w:hAnsi="Georgia" w:eastAsia="Georgia"/>
          <w:outline w:val="0"/>
          <w:color w:val="467886"/>
          <w:u w:val="single" w:color="467886"/>
          <w:shd w:val="clear" w:color="auto" w:fill="ffffff"/>
          <w:rtl w:val="0"/>
          <w14:textFill>
            <w14:solidFill>
              <w14:srgbClr w14:val="467886"/>
            </w14:solidFill>
          </w14:textFill>
        </w:rPr>
        <w:fldChar w:fldCharType="begin" w:fldLock="0"/>
      </w:r>
      <w:r>
        <w:rPr>
          <w:rStyle w:val="Hyperlink.0"/>
          <w:rFonts w:ascii="Georgia" w:cs="Georgia" w:hAnsi="Georgia" w:eastAsia="Georgia"/>
          <w:outline w:val="0"/>
          <w:color w:val="467886"/>
          <w:u w:val="single" w:color="467886"/>
          <w:shd w:val="clear" w:color="auto" w:fill="ffffff"/>
          <w:rtl w:val="0"/>
          <w14:textFill>
            <w14:solidFill>
              <w14:srgbClr w14:val="467886"/>
            </w14:solidFill>
          </w14:textFill>
        </w:rPr>
        <w:instrText xml:space="preserve"> HYPERLINK "https://www.findyourbase.com/"</w:instrText>
      </w:r>
      <w:r>
        <w:rPr>
          <w:rStyle w:val="Hyperlink.0"/>
          <w:rFonts w:ascii="Georgia" w:cs="Georgia" w:hAnsi="Georgia" w:eastAsia="Georgia"/>
          <w:outline w:val="0"/>
          <w:color w:val="467886"/>
          <w:u w:val="single" w:color="467886"/>
          <w:shd w:val="clear" w:color="auto" w:fill="ffffff"/>
          <w:rtl w:val="0"/>
          <w14:textFill>
            <w14:solidFill>
              <w14:srgbClr w14:val="467886"/>
            </w14:solidFill>
          </w14:textFill>
        </w:rPr>
        <w:fldChar w:fldCharType="separate" w:fldLock="0"/>
      </w:r>
      <w:r>
        <w:rPr>
          <w:rStyle w:val="Hyperlink.0"/>
          <w:rFonts w:ascii="Georgia" w:hAnsi="Georgia"/>
          <w:outline w:val="0"/>
          <w:color w:val="467886"/>
          <w:u w:val="single" w:color="467886"/>
          <w:shd w:val="clear" w:color="auto" w:fill="ffffff"/>
          <w:rtl w:val="0"/>
          <w:lang w:val="en-US"/>
          <w14:textFill>
            <w14:solidFill>
              <w14:srgbClr w14:val="467886"/>
            </w14:solidFill>
          </w14:textFill>
        </w:rPr>
        <w:t>https://www.findyourbase.com/</w:t>
      </w:r>
      <w:r>
        <w:rPr>
          <w:rFonts w:ascii="Georgia" w:cs="Georgia" w:hAnsi="Georgia" w:eastAsia="Georgia"/>
          <w:outline w:val="0"/>
          <w:color w:val="3a3c45"/>
          <w:shd w:val="clear" w:color="auto" w:fill="ffffff"/>
          <w:rtl w:val="0"/>
          <w14:textFill>
            <w14:solidFill>
              <w14:srgbClr w14:val="3A3C45"/>
            </w14:solidFill>
          </w14:textFill>
        </w:rPr>
        <w:fldChar w:fldCharType="end" w:fldLock="0"/>
      </w:r>
      <w:r>
        <w:rPr>
          <w:rFonts w:ascii="Georgia" w:hAnsi="Georgia"/>
          <w:outline w:val="0"/>
          <w:color w:val="3a3c45"/>
          <w:shd w:val="clear" w:color="auto" w:fill="ffffff"/>
          <w:rtl w:val="0"/>
          <w:lang w:val="en-US"/>
          <w14:textFill>
            <w14:solidFill>
              <w14:srgbClr w14:val="3A3C45"/>
            </w14:solidFill>
          </w14:textFill>
        </w:rPr>
        <w:t xml:space="preserve">) </w:t>
      </w:r>
      <w:r>
        <w:rPr>
          <w:rFonts w:ascii="Georgia" w:hAnsi="Georgia"/>
          <w:outline w:val="0"/>
          <w:color w:val="3a3c45"/>
          <w:shd w:val="clear" w:color="auto" w:fill="ffffff"/>
          <w:rtl w:val="0"/>
          <w:lang w:val="en-US"/>
          <w14:textFill>
            <w14:solidFill>
              <w14:srgbClr w14:val="3A3C45"/>
            </w14:solidFill>
          </w14:textFill>
        </w:rPr>
        <w:t>is approved by the American Psychological Association to sponsor continuing education for psychologists. BASE maintains responsibility for this program and its content.</w:t>
      </w:r>
      <w:r>
        <w:rPr>
          <w:rFonts w:ascii="Georgia" w:hAnsi="Georgia"/>
          <w:outline w:val="0"/>
          <w:color w:val="3a3c45"/>
          <w:shd w:val="clear" w:color="auto" w:fill="ffffff"/>
          <w:rtl w:val="0"/>
          <w:lang w:val="en-US"/>
          <w14:textFill>
            <w14:solidFill>
              <w14:srgbClr w14:val="3A3C45"/>
            </w14:solidFill>
          </w14:textFill>
        </w:rPr>
        <w:t xml:space="preserve"> To get CE credit, you must attend the presentation live, sign in and out using the chat feature during the livestream, and complete the evaluation that will be emailed to you. Upon completion of the evolution, a CE certificate will be emailed to you. </w:t>
      </w:r>
    </w:p>
    <w:p>
      <w:pPr>
        <w:pStyle w:val="Body"/>
        <w:jc w:val="center"/>
        <w:rPr>
          <w:rFonts w:ascii="Georgia" w:cs="Georgia" w:hAnsi="Georgia" w:eastAsia="Georgia"/>
          <w:b w:val="1"/>
          <w:bCs w:val="1"/>
          <w:caps w:val="1"/>
        </w:rPr>
      </w:pPr>
      <w:r>
        <w:rPr>
          <w:rFonts w:ascii="Georgia" w:hAnsi="Georgia"/>
          <w:b w:val="1"/>
          <w:bCs w:val="1"/>
          <w:caps w:val="1"/>
          <w:rtl w:val="0"/>
          <w:lang w:val="fr-FR"/>
        </w:rPr>
        <w:t>Description</w:t>
      </w:r>
    </w:p>
    <w:p>
      <w:pPr>
        <w:pStyle w:val="Body"/>
        <w:rPr>
          <w:rFonts w:ascii="Georgia" w:cs="Georgia" w:hAnsi="Georgia" w:eastAsia="Georgia"/>
        </w:rPr>
      </w:pPr>
      <w:r>
        <w:rPr>
          <w:rFonts w:ascii="Georgia" w:hAnsi="Georgia"/>
          <w:rtl w:val="0"/>
          <w:lang w:val="en-US"/>
        </w:rPr>
        <w:t>Interpersonal measures are routinely used in psychological assessment, but these measures have not been thoroughly examined in individuals from diverse backgrounds. Invariance testing is a common approach to understand how a measure performs across groups yet many datasets lack sufficient sample size to test invariance across groups. We combined data from 55 datasets to examine measurement invariance of the Inventory of Interpersonal Problems Short Circumplex (</w:t>
      </w:r>
      <w:r>
        <w:rPr>
          <w:rFonts w:ascii="Georgia" w:hAnsi="Georgia"/>
          <w:i w:val="1"/>
          <w:iCs w:val="1"/>
          <w:rtl w:val="0"/>
        </w:rPr>
        <w:t>n</w:t>
      </w:r>
      <w:r>
        <w:rPr>
          <w:rFonts w:ascii="Georgia" w:hAnsi="Georgia"/>
          <w:rtl w:val="0"/>
          <w:lang w:val="en-US"/>
        </w:rPr>
        <w:t>=14,263) and Circumplex Scale of Interpersonal Values (</w:t>
      </w:r>
      <w:r>
        <w:rPr>
          <w:rFonts w:ascii="Georgia" w:hAnsi="Georgia"/>
          <w:i w:val="1"/>
          <w:iCs w:val="1"/>
          <w:rtl w:val="0"/>
        </w:rPr>
        <w:t>n</w:t>
      </w:r>
      <w:r>
        <w:rPr>
          <w:rFonts w:ascii="Georgia" w:hAnsi="Georgia"/>
          <w:rtl w:val="0"/>
          <w:lang w:val="en-US"/>
        </w:rPr>
        <w:t xml:space="preserve">=8687) using the ADDRESSING framework to organize groups (Age and generational effects, Developmental or other Disability, Religion and spirituality, Ethnic and racial identity, Socioeconomic status, Sexual orientation, Indigenous heritage, National origin, and Gender). </w:t>
      </w:r>
    </w:p>
    <w:p>
      <w:pPr>
        <w:pStyle w:val="Body"/>
        <w:rPr>
          <w:rFonts w:ascii="Georgia" w:cs="Georgia" w:hAnsi="Georgia" w:eastAsia="Georgia"/>
        </w:rPr>
      </w:pPr>
      <w:r>
        <w:rPr>
          <w:rFonts w:ascii="Georgia" w:hAnsi="Georgia"/>
          <w:rtl w:val="0"/>
          <w:lang w:val="en-US"/>
        </w:rPr>
        <w:t>Using dynamic fit indexes, we found support for circumplex factor structure and invariance for most subgroups. We also found evidence for small, but potentially important, differences in scale scores across certain groups. This presentation has key takeaways for research and practice. For research, I discuss the nuances of invariance testing with a circumplex model (M</w:t>
      </w:r>
      <w:r>
        <w:rPr>
          <w:rFonts w:ascii="Georgia" w:hAnsi="Georgia" w:hint="default"/>
          <w:rtl w:val="0"/>
        </w:rPr>
        <w:t>ü</w:t>
      </w:r>
      <w:r>
        <w:rPr>
          <w:rFonts w:ascii="Georgia" w:hAnsi="Georgia"/>
          <w:rtl w:val="0"/>
          <w:lang w:val="en-US"/>
        </w:rPr>
        <w:t>ller, et al., 2024), creating norms based on combined convenience samples, and best practices for measuring demographic characteristics in ongoing data collection (Mohamed et al., 2026). I also highlight implications for clinical practice, including how to incorporate sociocultural context into the understanding of testing scores (Wright, 2022), conceptualization, and intervention strategies. I provide an excel spreadsheet to score interpersonal measuring using updated norms and options to choose between different norms.</w:t>
      </w:r>
    </w:p>
    <w:p>
      <w:pPr>
        <w:pStyle w:val="Body"/>
        <w:jc w:val="center"/>
        <w:rPr>
          <w:rFonts w:ascii="Georgia" w:cs="Georgia" w:hAnsi="Georgia" w:eastAsia="Georgia"/>
          <w:b w:val="1"/>
          <w:bCs w:val="1"/>
        </w:rPr>
      </w:pPr>
      <w:r>
        <w:rPr>
          <w:rFonts w:ascii="Georgia" w:hAnsi="Georgia"/>
          <w:b w:val="1"/>
          <w:bCs w:val="1"/>
          <w:rtl w:val="0"/>
          <w:lang w:val="fr-FR"/>
        </w:rPr>
        <w:t>References</w:t>
      </w:r>
    </w:p>
    <w:p>
      <w:pPr>
        <w:pStyle w:val="Body"/>
        <w:spacing w:after="0"/>
        <w:rPr>
          <w:rFonts w:ascii="Georgia" w:cs="Georgia" w:hAnsi="Georgia" w:eastAsia="Georgia"/>
        </w:rPr>
      </w:pPr>
      <w:r>
        <w:rPr>
          <w:rFonts w:ascii="Georgia" w:hAnsi="Georgia"/>
          <w:rtl w:val="0"/>
          <w:lang w:val="en-US"/>
        </w:rPr>
        <w:t xml:space="preserve">Mohamed, J., Jacob, B. K., Debrosse, R., Adel, M., Zhang, S., Hu, Z., ... &amp; Chung, J. M. </w:t>
      </w:r>
    </w:p>
    <w:p>
      <w:pPr>
        <w:pStyle w:val="Body"/>
        <w:spacing w:after="0"/>
        <w:rPr>
          <w:rFonts w:ascii="Georgia" w:cs="Georgia" w:hAnsi="Georgia" w:eastAsia="Georgia"/>
        </w:rPr>
      </w:pPr>
      <w:r>
        <w:rPr>
          <w:rFonts w:ascii="Georgia" w:cs="Georgia" w:hAnsi="Georgia" w:eastAsia="Georgia"/>
        </w:rPr>
        <w:tab/>
      </w:r>
      <w:r>
        <w:rPr>
          <w:rFonts w:ascii="Georgia" w:hAnsi="Georgia"/>
          <w:rtl w:val="0"/>
          <w:lang w:val="en-US"/>
        </w:rPr>
        <w:t xml:space="preserve">(2026). A Practical Guide for Integrating Community-Engaged Research Across </w:t>
      </w:r>
    </w:p>
    <w:p>
      <w:pPr>
        <w:pStyle w:val="Body"/>
        <w:spacing w:after="0"/>
        <w:rPr>
          <w:rFonts w:ascii="Georgia" w:cs="Georgia" w:hAnsi="Georgia" w:eastAsia="Georgia"/>
          <w:i w:val="1"/>
          <w:iCs w:val="1"/>
        </w:rPr>
      </w:pPr>
      <w:r>
        <w:rPr>
          <w:rFonts w:ascii="Georgia" w:cs="Georgia" w:hAnsi="Georgia" w:eastAsia="Georgia"/>
        </w:rPr>
        <w:tab/>
      </w:r>
      <w:r>
        <w:rPr>
          <w:rFonts w:ascii="Georgia" w:hAnsi="Georgia"/>
          <w:rtl w:val="0"/>
          <w:lang w:val="en-US"/>
        </w:rPr>
        <w:t xml:space="preserve">the Psychological Research Cycle. </w:t>
      </w:r>
      <w:r>
        <w:rPr>
          <w:rFonts w:ascii="Georgia" w:hAnsi="Georgia"/>
          <w:i w:val="1"/>
          <w:iCs w:val="1"/>
          <w:rtl w:val="0"/>
          <w:lang w:val="en-US"/>
        </w:rPr>
        <w:t xml:space="preserve">Advances in Methods and Practices in </w:t>
      </w:r>
    </w:p>
    <w:p>
      <w:pPr>
        <w:pStyle w:val="Body"/>
        <w:spacing w:after="0"/>
        <w:rPr>
          <w:rFonts w:ascii="Georgia" w:cs="Georgia" w:hAnsi="Georgia" w:eastAsia="Georgia"/>
        </w:rPr>
      </w:pPr>
      <w:r>
        <w:rPr>
          <w:rFonts w:ascii="Georgia" w:cs="Georgia" w:hAnsi="Georgia" w:eastAsia="Georgia"/>
          <w:i w:val="1"/>
          <w:iCs w:val="1"/>
        </w:rPr>
        <w:tab/>
      </w:r>
      <w:r>
        <w:rPr>
          <w:rFonts w:ascii="Georgia" w:hAnsi="Georgia"/>
          <w:i w:val="1"/>
          <w:iCs w:val="1"/>
          <w:rtl w:val="0"/>
          <w:lang w:val="en-US"/>
        </w:rPr>
        <w:t>Psychological Science</w:t>
      </w:r>
      <w:r>
        <w:rPr>
          <w:rFonts w:ascii="Georgia" w:hAnsi="Georgia"/>
          <w:rtl w:val="0"/>
        </w:rPr>
        <w:t xml:space="preserve">, </w:t>
      </w:r>
      <w:r>
        <w:rPr>
          <w:rFonts w:ascii="Georgia" w:hAnsi="Georgia"/>
          <w:i w:val="1"/>
          <w:iCs w:val="1"/>
          <w:rtl w:val="0"/>
        </w:rPr>
        <w:t>9</w:t>
      </w:r>
      <w:r>
        <w:rPr>
          <w:rFonts w:ascii="Georgia" w:hAnsi="Georgia"/>
          <w:rtl w:val="0"/>
        </w:rPr>
        <w:t>(1), 25152459251397997.</w:t>
      </w:r>
    </w:p>
    <w:p>
      <w:pPr>
        <w:pStyle w:val="Body"/>
        <w:spacing w:after="0"/>
        <w:rPr>
          <w:rFonts w:ascii="Georgia" w:cs="Georgia" w:hAnsi="Georgia" w:eastAsia="Georgia"/>
        </w:rPr>
      </w:pPr>
      <w:r>
        <w:rPr>
          <w:rFonts w:ascii="Georgia" w:hAnsi="Georgia"/>
          <w:rtl w:val="0"/>
        </w:rPr>
        <w:t>M</w:t>
      </w:r>
      <w:r>
        <w:rPr>
          <w:rFonts w:ascii="Georgia" w:hAnsi="Georgia" w:hint="default"/>
          <w:rtl w:val="0"/>
        </w:rPr>
        <w:t>ü</w:t>
      </w:r>
      <w:r>
        <w:rPr>
          <w:rFonts w:ascii="Georgia" w:hAnsi="Georgia"/>
          <w:rtl w:val="0"/>
          <w:lang w:val="de-DE"/>
        </w:rPr>
        <w:t xml:space="preserve">ller, S., Wendt, L. P., Schicktanz, P., Hopwood, C. J., &amp; Zimmermann, J. (2024). </w:t>
      </w:r>
    </w:p>
    <w:p>
      <w:pPr>
        <w:pStyle w:val="Body"/>
        <w:spacing w:after="0"/>
        <w:rPr>
          <w:rFonts w:ascii="Georgia" w:cs="Georgia" w:hAnsi="Georgia" w:eastAsia="Georgia"/>
        </w:rPr>
      </w:pPr>
      <w:r>
        <w:rPr>
          <w:rFonts w:ascii="Georgia" w:cs="Georgia" w:hAnsi="Georgia" w:eastAsia="Georgia"/>
        </w:rPr>
        <w:tab/>
      </w:r>
      <w:r>
        <w:rPr>
          <w:rFonts w:ascii="Georgia" w:hAnsi="Georgia"/>
          <w:rtl w:val="0"/>
          <w:lang w:val="en-US"/>
        </w:rPr>
        <w:t xml:space="preserve">Development and validation of a German Interpersonal Sensitivities Circumplex </w:t>
      </w:r>
    </w:p>
    <w:p>
      <w:pPr>
        <w:pStyle w:val="Body"/>
        <w:spacing w:after="0"/>
        <w:rPr>
          <w:rFonts w:ascii="Georgia" w:cs="Georgia" w:hAnsi="Georgia" w:eastAsia="Georgia"/>
        </w:rPr>
      </w:pPr>
      <w:r>
        <w:rPr>
          <w:rFonts w:ascii="Georgia" w:cs="Georgia" w:hAnsi="Georgia" w:eastAsia="Georgia"/>
        </w:rPr>
        <w:tab/>
      </w:r>
      <w:r>
        <w:rPr>
          <w:rFonts w:ascii="Georgia" w:hAnsi="Georgia"/>
          <w:rtl w:val="0"/>
          <w:lang w:val="en-US"/>
        </w:rPr>
        <w:t xml:space="preserve">(ISC-G): A self-report measure of perceived aversive behaviors of others. </w:t>
      </w:r>
    </w:p>
    <w:p>
      <w:pPr>
        <w:pStyle w:val="Body"/>
        <w:spacing w:after="0"/>
        <w:rPr>
          <w:rFonts w:ascii="Georgia" w:cs="Georgia" w:hAnsi="Georgia" w:eastAsia="Georgia"/>
        </w:rPr>
      </w:pPr>
      <w:r>
        <w:rPr>
          <w:rFonts w:ascii="Georgia" w:cs="Georgia" w:hAnsi="Georgia" w:eastAsia="Georgia"/>
        </w:rPr>
        <w:tab/>
      </w:r>
      <w:r>
        <w:rPr>
          <w:rFonts w:ascii="Georgia" w:hAnsi="Georgia"/>
          <w:i w:val="1"/>
          <w:iCs w:val="1"/>
          <w:rtl w:val="0"/>
          <w:lang w:val="en-US"/>
        </w:rPr>
        <w:t>European Journal of Psychological Assessment</w:t>
      </w:r>
      <w:r>
        <w:rPr>
          <w:rFonts w:ascii="Georgia" w:hAnsi="Georgia"/>
          <w:rtl w:val="0"/>
        </w:rPr>
        <w:t xml:space="preserve">, </w:t>
      </w:r>
      <w:r>
        <w:rPr>
          <w:rFonts w:ascii="Georgia" w:hAnsi="Georgia"/>
          <w:i w:val="1"/>
          <w:iCs w:val="1"/>
          <w:rtl w:val="0"/>
        </w:rPr>
        <w:t>40</w:t>
      </w:r>
      <w:r>
        <w:rPr>
          <w:rFonts w:ascii="Georgia" w:hAnsi="Georgia"/>
          <w:rtl w:val="0"/>
        </w:rPr>
        <w:t>(2), 146.</w:t>
      </w:r>
    </w:p>
    <w:p>
      <w:pPr>
        <w:pStyle w:val="Body"/>
        <w:spacing w:after="0"/>
        <w:rPr>
          <w:rFonts w:ascii="Georgia" w:cs="Georgia" w:hAnsi="Georgia" w:eastAsia="Georgia"/>
        </w:rPr>
      </w:pPr>
      <w:r>
        <w:rPr>
          <w:rFonts w:ascii="Georgia" w:hAnsi="Georgia"/>
          <w:rtl w:val="0"/>
          <w:lang w:val="en-US"/>
        </w:rPr>
        <w:t xml:space="preserve">Wright, A. J. (2022). Deliberate context-driven conceptualization in psychological </w:t>
      </w:r>
    </w:p>
    <w:p>
      <w:pPr>
        <w:pStyle w:val="Body"/>
        <w:spacing w:after="0"/>
        <w:rPr>
          <w:rFonts w:ascii="Georgia" w:cs="Georgia" w:hAnsi="Georgia" w:eastAsia="Georgia"/>
        </w:rPr>
      </w:pPr>
      <w:r>
        <w:rPr>
          <w:rFonts w:ascii="Georgia" w:cs="Georgia" w:hAnsi="Georgia" w:eastAsia="Georgia"/>
        </w:rPr>
        <w:tab/>
      </w:r>
      <w:r>
        <w:rPr>
          <w:rFonts w:ascii="Georgia" w:hAnsi="Georgia"/>
          <w:rtl w:val="0"/>
          <w:lang w:val="it-IT"/>
        </w:rPr>
        <w:t xml:space="preserve">assessment. </w:t>
      </w:r>
      <w:r>
        <w:rPr>
          <w:rFonts w:ascii="Georgia" w:hAnsi="Georgia"/>
          <w:i w:val="1"/>
          <w:iCs w:val="1"/>
          <w:rtl w:val="0"/>
          <w:lang w:val="en-US"/>
        </w:rPr>
        <w:t>Journal of Personality Assessment</w:t>
      </w:r>
      <w:r>
        <w:rPr>
          <w:rFonts w:ascii="Georgia" w:hAnsi="Georgia"/>
          <w:rtl w:val="0"/>
        </w:rPr>
        <w:t xml:space="preserve">, </w:t>
      </w:r>
      <w:r>
        <w:rPr>
          <w:rFonts w:ascii="Georgia" w:hAnsi="Georgia"/>
          <w:i w:val="1"/>
          <w:iCs w:val="1"/>
          <w:rtl w:val="0"/>
        </w:rPr>
        <w:t>104</w:t>
      </w:r>
      <w:r>
        <w:rPr>
          <w:rFonts w:ascii="Georgia" w:hAnsi="Georgia"/>
          <w:rtl w:val="0"/>
        </w:rPr>
        <w:t>(5), 700-709.</w:t>
      </w:r>
    </w:p>
    <w:p>
      <w:pPr>
        <w:pStyle w:val="Body"/>
        <w:spacing w:after="0"/>
        <w:rPr>
          <w:rFonts w:ascii="Georgia" w:cs="Georgia" w:hAnsi="Georgia" w:eastAsia="Georgia"/>
        </w:rPr>
      </w:pPr>
    </w:p>
    <w:p>
      <w:pPr>
        <w:pStyle w:val="Body"/>
        <w:jc w:val="center"/>
        <w:rPr>
          <w:rFonts w:ascii="Georgia" w:cs="Georgia" w:hAnsi="Georgia" w:eastAsia="Georgia"/>
          <w:b w:val="1"/>
          <w:bCs w:val="1"/>
          <w:caps w:val="1"/>
        </w:rPr>
      </w:pPr>
      <w:r>
        <w:rPr>
          <w:rFonts w:ascii="Georgia" w:hAnsi="Georgia"/>
          <w:b w:val="1"/>
          <w:bCs w:val="1"/>
          <w:caps w:val="1"/>
          <w:rtl w:val="0"/>
          <w:lang w:val="en-US"/>
        </w:rPr>
        <w:t>Learning objectives</w:t>
      </w:r>
    </w:p>
    <w:p>
      <w:pPr>
        <w:pStyle w:val="Body"/>
        <w:rPr>
          <w:rFonts w:ascii="Georgia" w:cs="Georgia" w:hAnsi="Georgia" w:eastAsia="Georgia"/>
        </w:rPr>
      </w:pPr>
      <w:r>
        <w:rPr>
          <w:rFonts w:ascii="Georgia" w:hAnsi="Georgia"/>
          <w:rtl w:val="0"/>
          <w:lang w:val="en-US"/>
        </w:rPr>
        <w:t xml:space="preserve">Learning objective 1: To discuss how different client identities and backgrounds present in clinical practice and evaluate the comprehensiveness of the ADDRESSING framework to operationalize those aspects of the person. </w:t>
      </w:r>
    </w:p>
    <w:p>
      <w:pPr>
        <w:pStyle w:val="Body"/>
        <w:rPr>
          <w:rFonts w:ascii="Georgia" w:cs="Georgia" w:hAnsi="Georgia" w:eastAsia="Georgia"/>
        </w:rPr>
      </w:pPr>
      <w:r>
        <w:rPr>
          <w:rFonts w:ascii="Georgia" w:hAnsi="Georgia"/>
          <w:rtl w:val="0"/>
          <w:lang w:val="en-US"/>
        </w:rPr>
        <w:t>Learning objective 2: To assess the invariance of circumplex measures across different identities and backgrounds.</w:t>
      </w:r>
    </w:p>
    <w:p>
      <w:pPr>
        <w:pStyle w:val="Body"/>
        <w:rPr>
          <w:rFonts w:ascii="Georgia" w:cs="Georgia" w:hAnsi="Georgia" w:eastAsia="Georgia"/>
        </w:rPr>
      </w:pPr>
      <w:r>
        <w:rPr>
          <w:rFonts w:ascii="Georgia" w:hAnsi="Georgia"/>
          <w:rtl w:val="0"/>
          <w:lang w:val="en-US"/>
        </w:rPr>
        <w:t>Learning objective 3: To compare interpersonal score profiles across different normative subgroups and evaluate the necessity and impact of subgroup-based norms to these profiles.</w:t>
      </w:r>
    </w:p>
    <w:p>
      <w:pPr>
        <w:pStyle w:val="Body"/>
        <w:rPr>
          <w:rFonts w:ascii="Georgia" w:cs="Georgia" w:hAnsi="Georgia" w:eastAsia="Georgia"/>
        </w:rPr>
      </w:pPr>
      <w:r>
        <w:rPr>
          <w:rFonts w:ascii="Georgia" w:hAnsi="Georgia"/>
          <w:rtl w:val="0"/>
          <w:lang w:val="en-US"/>
        </w:rPr>
        <w:t xml:space="preserve">Learning objective 4: To discuss how sociocultural context influences interpersonal functioning and its impact on interpersonal measure scores, interpretation, and interventions aimed at individual, group, and structural levels.     </w:t>
      </w:r>
    </w:p>
    <w:p>
      <w:pPr>
        <w:pStyle w:val="Body"/>
        <w:jc w:val="center"/>
        <w:rPr>
          <w:rFonts w:ascii="Georgia" w:cs="Georgia" w:hAnsi="Georgia" w:eastAsia="Georgia"/>
          <w:b w:val="1"/>
          <w:bCs w:val="1"/>
          <w:caps w:val="1"/>
        </w:rPr>
      </w:pPr>
      <w:r>
        <w:rPr>
          <w:rFonts w:ascii="Georgia" w:hAnsi="Georgia"/>
          <w:b w:val="1"/>
          <w:bCs w:val="1"/>
          <w:caps w:val="1"/>
          <w:rtl w:val="0"/>
          <w:lang w:val="en-US"/>
        </w:rPr>
        <w:t>Audience</w:t>
      </w:r>
    </w:p>
    <w:p>
      <w:pPr>
        <w:pStyle w:val="Body"/>
        <w:rPr>
          <w:rFonts w:ascii="Georgia" w:cs="Georgia" w:hAnsi="Georgia" w:eastAsia="Georgia"/>
        </w:rPr>
      </w:pPr>
      <w:r>
        <w:rPr>
          <w:rFonts w:ascii="Georgia" w:hAnsi="Georgia"/>
          <w:rtl w:val="0"/>
          <w:lang w:val="en-US"/>
        </w:rPr>
        <w:t xml:space="preserve">Any level, though it is helpful to have a background or interest in statistics, invariance testing, and clinical implications of measurement. </w:t>
      </w:r>
    </w:p>
    <w:p>
      <w:pPr>
        <w:pStyle w:val="Body"/>
        <w:jc w:val="center"/>
        <w:rPr>
          <w:rFonts w:ascii="Georgia" w:cs="Georgia" w:hAnsi="Georgia" w:eastAsia="Georgia"/>
          <w:b w:val="1"/>
          <w:bCs w:val="1"/>
          <w:caps w:val="1"/>
        </w:rPr>
      </w:pPr>
      <w:r>
        <w:rPr>
          <w:rFonts w:ascii="Georgia" w:hAnsi="Georgia"/>
          <w:b w:val="1"/>
          <w:bCs w:val="1"/>
          <w:caps w:val="1"/>
          <w:rtl w:val="0"/>
        </w:rPr>
        <w:t>Presenter Bio</w:t>
      </w:r>
    </w:p>
    <w:p>
      <w:pPr>
        <w:pStyle w:val="Body"/>
        <w:rPr>
          <w:rFonts w:ascii="Georgia" w:cs="Georgia" w:hAnsi="Georgia" w:eastAsia="Georgia"/>
        </w:rPr>
      </w:pPr>
      <w:r>
        <w:rPr>
          <w:rFonts w:ascii="Georgia" w:hAnsi="Georgia"/>
          <w:rtl w:val="0"/>
          <w:lang w:val="en-US"/>
        </w:rPr>
        <w:t>Dr. Michael Roche is an Associate Professor of Psychology at West Chester University of Pennsylvania, and a licensed clinical psychologist in the state of PA. He is a former president of the Society for Interpersonal Theory and Research. His research program focuses on the topics of personality disorder, interpersonal processes, and assessment of psychological instruments. He has published over 60 journal articles and book chapters. Dr. Roche</w:t>
      </w:r>
      <w:r>
        <w:rPr>
          <w:rFonts w:ascii="Georgia" w:hAnsi="Georgia" w:hint="default"/>
          <w:rtl w:val="1"/>
        </w:rPr>
        <w:t>’</w:t>
      </w:r>
      <w:r>
        <w:rPr>
          <w:rFonts w:ascii="Georgia" w:hAnsi="Georgia"/>
          <w:rtl w:val="0"/>
          <w:lang w:val="en-US"/>
        </w:rPr>
        <w:t xml:space="preserve">s teaching experience spans both undergraduate and graduate levels, with courses related to psychotherapy implementation (CBT, DBT, psychodynamic), assessment (personality, cognitive), and clinical supervision of doctoral students within the WCUPA PsyD program.  </w:t>
      </w:r>
    </w:p>
    <w:p>
      <w:pPr>
        <w:pStyle w:val="Default"/>
        <w:bidi w:val="0"/>
        <w:spacing w:before="0" w:after="480" w:line="240" w:lineRule="auto"/>
        <w:ind w:left="0" w:right="0" w:firstLine="0"/>
        <w:jc w:val="center"/>
        <w:rPr>
          <w:rFonts w:ascii="Georgia" w:cs="Georgia" w:hAnsi="Georgia" w:eastAsia="Georgia"/>
          <w:b w:val="1"/>
          <w:bCs w:val="1"/>
          <w:shd w:val="clear" w:color="auto" w:fill="ffffff"/>
          <w:rtl w:val="0"/>
        </w:rPr>
      </w:pPr>
      <w:r>
        <w:rPr>
          <w:rFonts w:ascii="Georgia" w:hAnsi="Georgia"/>
          <w:b w:val="1"/>
          <w:bCs w:val="1"/>
          <w:shd w:val="clear" w:color="auto" w:fill="ffffff"/>
          <w:rtl w:val="0"/>
          <w:lang w:val="en-US"/>
        </w:rPr>
        <w:t>PROFESSIONAL AND ETHICAL ISSUES</w:t>
      </w:r>
    </w:p>
    <w:p>
      <w:pPr>
        <w:pStyle w:val="Default"/>
        <w:bidi w:val="0"/>
        <w:spacing w:before="0" w:after="240" w:line="240" w:lineRule="auto"/>
        <w:ind w:left="0" w:right="0" w:firstLine="0"/>
        <w:jc w:val="left"/>
        <w:rPr>
          <w:rFonts w:ascii="Georgia" w:cs="Georgia" w:hAnsi="Georgia" w:eastAsia="Georgia"/>
          <w:outline w:val="0"/>
          <w:color w:val="3a3c45"/>
          <w:shd w:val="clear" w:color="auto" w:fill="ffffff"/>
          <w:rtl w:val="0"/>
          <w14:textFill>
            <w14:solidFill>
              <w14:srgbClr w14:val="3A3C45"/>
            </w14:solidFill>
          </w14:textFill>
        </w:rPr>
      </w:pPr>
      <w:r>
        <w:rPr>
          <w:rFonts w:ascii="Georgia" w:hAnsi="Georgia"/>
          <w:outline w:val="0"/>
          <w:color w:val="3a3c45"/>
          <w:shd w:val="clear" w:color="auto" w:fill="ffffff"/>
          <w:rtl w:val="0"/>
          <w:lang w:val="en-US"/>
          <w14:textFill>
            <w14:solidFill>
              <w14:srgbClr w14:val="3A3C45"/>
            </w14:solidFill>
          </w14:textFill>
        </w:rPr>
        <w:t>There is no commercial support for this CE program, instructor, content of instruction, or any other relationship that could be construed as a conflict of interest.</w:t>
      </w:r>
      <w:r>
        <w:rPr>
          <w:rFonts w:ascii="Georgia" w:hAnsi="Georgia" w:hint="default"/>
          <w:outline w:val="0"/>
          <w:color w:val="3a3c45"/>
          <w:shd w:val="clear" w:color="auto" w:fill="ffffff"/>
          <w:rtl w:val="0"/>
          <w14:textFill>
            <w14:solidFill>
              <w14:srgbClr w14:val="3A3C45"/>
            </w14:solidFill>
          </w14:textFill>
        </w:rPr>
        <w:t> </w:t>
      </w:r>
      <w:r>
        <w:rPr>
          <w:rFonts w:ascii="Georgia" w:hAnsi="Georgia"/>
          <w:outline w:val="0"/>
          <w:color w:val="3a3c45"/>
          <w:shd w:val="clear" w:color="auto" w:fill="ffffff"/>
          <w:rtl w:val="0"/>
          <w:lang w:val="en-US"/>
          <w14:textFill>
            <w14:solidFill>
              <w14:srgbClr w14:val="3A3C45"/>
            </w14:solidFill>
          </w14:textFill>
        </w:rPr>
        <w:t>There is no endorsement of products</w:t>
      </w:r>
      <w:r>
        <w:rPr>
          <w:rFonts w:ascii="Georgia" w:hAnsi="Georgia"/>
          <w:outline w:val="0"/>
          <w:color w:val="3a3c45"/>
          <w:shd w:val="clear" w:color="auto" w:fill="ffffff"/>
          <w:rtl w:val="0"/>
          <w:lang w:val="en-US"/>
          <w14:textFill>
            <w14:solidFill>
              <w14:srgbClr w14:val="3A3C45"/>
            </w14:solidFill>
          </w14:textFill>
        </w:rPr>
        <w:t xml:space="preserve">. </w:t>
      </w:r>
    </w:p>
    <w:p>
      <w:pPr>
        <w:pStyle w:val="Default"/>
        <w:bidi w:val="0"/>
        <w:spacing w:before="0" w:after="240" w:line="240" w:lineRule="auto"/>
        <w:ind w:left="0" w:right="0" w:firstLine="0"/>
        <w:jc w:val="center"/>
        <w:rPr>
          <w:rFonts w:ascii="Georgia" w:cs="Georgia" w:hAnsi="Georgia" w:eastAsia="Georgia"/>
          <w:b w:val="1"/>
          <w:bCs w:val="1"/>
          <w:outline w:val="0"/>
          <w:color w:val="ff2f92"/>
          <w:shd w:val="clear" w:color="auto" w:fill="ffffff"/>
          <w:rtl w:val="0"/>
          <w14:textFill>
            <w14:solidFill>
              <w14:srgbClr w14:val="FF2F92"/>
            </w14:solidFill>
          </w14:textFill>
        </w:rPr>
      </w:pPr>
      <w:r>
        <w:rPr>
          <w:rFonts w:ascii="Georgia" w:hAnsi="Georgia"/>
          <w:b w:val="1"/>
          <w:bCs w:val="1"/>
          <w:outline w:val="0"/>
          <w:color w:val="ff2f92"/>
          <w:shd w:val="clear" w:color="auto" w:fill="ffffff"/>
          <w:rtl w:val="0"/>
          <w:lang w:val="en-US"/>
          <w14:textFill>
            <w14:solidFill>
              <w14:srgbClr w14:val="FF2F92"/>
            </w14:solidFill>
          </w14:textFill>
        </w:rPr>
        <w:t>PRICE</w:t>
      </w:r>
    </w:p>
    <w:p>
      <w:pPr>
        <w:pStyle w:val="Default"/>
        <w:bidi w:val="0"/>
        <w:spacing w:before="0" w:after="240" w:line="240" w:lineRule="auto"/>
        <w:ind w:left="0" w:right="0" w:firstLine="0"/>
        <w:jc w:val="left"/>
        <w:rPr>
          <w:rtl w:val="0"/>
        </w:rPr>
      </w:pPr>
      <w:r>
        <w:rPr>
          <w:rFonts w:ascii="Georgia" w:hAnsi="Georgia"/>
          <w:outline w:val="0"/>
          <w:color w:val="ff2f92"/>
          <w:shd w:val="clear" w:color="auto" w:fill="ffffff"/>
          <w:rtl w:val="0"/>
          <w:lang w:val="en-US"/>
          <w14:textFill>
            <w14:solidFill>
              <w14:srgbClr w14:val="FF2F92"/>
            </w14:solidFill>
          </w14:textFill>
        </w:rPr>
        <w:t xml:space="preserve">1 APA CE is free for members and $25 non-members. Attendance without CE credit is free for everyone. </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outline w:val="0"/>
      <w:color w:val="467886"/>
      <w:u w:val="single" w:color="467886"/>
      <w14:textFill>
        <w14:solidFill>
          <w14:srgbClr w14:val="467886"/>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